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1"/>
      </w:tblGrid>
      <w:tr w:rsidR="008B0A75" w14:paraId="2892AD05" w14:textId="77777777" w:rsidTr="00956685">
        <w:tc>
          <w:tcPr>
            <w:tcW w:w="4962" w:type="dxa"/>
          </w:tcPr>
          <w:p w14:paraId="3BEF9E0D" w14:textId="77777777" w:rsidR="008B0A75" w:rsidRDefault="008B0A75">
            <w:pPr>
              <w:rPr>
                <w:rFonts w:ascii="Arial Rounded MT Bold" w:hAnsi="Arial Rounded MT Bold"/>
              </w:rPr>
            </w:pPr>
            <w:r w:rsidRPr="008B0A75">
              <w:rPr>
                <w:rFonts w:ascii="Arial Rounded MT Bold" w:hAnsi="Arial Rounded MT Bold"/>
              </w:rPr>
              <w:t xml:space="preserve">CHAIRE PROFESSEUR JUNIOR </w:t>
            </w:r>
          </w:p>
          <w:p w14:paraId="728F2539" w14:textId="77777777" w:rsidR="00791F8E" w:rsidRDefault="00791F8E">
            <w:pPr>
              <w:rPr>
                <w:rFonts w:ascii="Unistra A" w:hAnsi="Unistra A"/>
                <w:b/>
                <w:bCs/>
                <w:sz w:val="23"/>
                <w:szCs w:val="23"/>
              </w:rPr>
            </w:pPr>
          </w:p>
          <w:p w14:paraId="7893E700" w14:textId="7E046FE2" w:rsidR="00791F8E" w:rsidRPr="00791F8E" w:rsidRDefault="00791F8E">
            <w:pPr>
              <w:rPr>
                <w:rFonts w:ascii="Arial Rounded MT Bold" w:hAnsi="Arial Rounded MT Bold"/>
                <w:b/>
                <w:bCs/>
              </w:rPr>
            </w:pPr>
            <w:r w:rsidRPr="00791F8E">
              <w:rPr>
                <w:rFonts w:ascii="Unistra A" w:hAnsi="Unistra A"/>
                <w:b/>
                <w:bCs/>
                <w:sz w:val="23"/>
                <w:szCs w:val="23"/>
              </w:rPr>
              <w:t>Biotechnologie</w:t>
            </w:r>
            <w:r w:rsidR="00C62E12">
              <w:rPr>
                <w:rFonts w:ascii="Unistra A" w:hAnsi="Unistra A"/>
                <w:b/>
                <w:bCs/>
                <w:sz w:val="23"/>
                <w:szCs w:val="23"/>
              </w:rPr>
              <w:t>s</w:t>
            </w:r>
            <w:r w:rsidRPr="00791F8E">
              <w:rPr>
                <w:rFonts w:ascii="Unistra A" w:hAnsi="Unistra A"/>
                <w:b/>
                <w:bCs/>
                <w:sz w:val="23"/>
                <w:szCs w:val="23"/>
              </w:rPr>
              <w:t xml:space="preserve"> et biothérapie</w:t>
            </w:r>
            <w:r w:rsidR="00C62E12">
              <w:rPr>
                <w:rFonts w:ascii="Unistra A" w:hAnsi="Unistra A"/>
                <w:b/>
                <w:bCs/>
                <w:sz w:val="23"/>
                <w:szCs w:val="23"/>
              </w:rPr>
              <w:t>s</w:t>
            </w:r>
          </w:p>
          <w:p w14:paraId="5D11EF66" w14:textId="77777777" w:rsidR="008B0A75" w:rsidRDefault="008B0A75">
            <w:pPr>
              <w:rPr>
                <w:rFonts w:ascii="Arial Rounded MT Bold" w:hAnsi="Arial Rounded MT Bold"/>
              </w:rPr>
            </w:pPr>
          </w:p>
          <w:p w14:paraId="1419F466" w14:textId="77777777" w:rsidR="00211EDF" w:rsidRDefault="00211EDF">
            <w:r>
              <w:t>Ecole Supérieure de Biotechnologie de Strasbourg</w:t>
            </w:r>
          </w:p>
          <w:p w14:paraId="42C1A673" w14:textId="77777777" w:rsidR="00956685" w:rsidRDefault="00956685">
            <w:r>
              <w:t>Biotechnologie et Signalisation Cellulaire (UMR7242)</w:t>
            </w:r>
          </w:p>
        </w:tc>
        <w:tc>
          <w:tcPr>
            <w:tcW w:w="4531" w:type="dxa"/>
          </w:tcPr>
          <w:p w14:paraId="1A1B68DD" w14:textId="77777777" w:rsidR="008B0A75" w:rsidRDefault="00211EDF" w:rsidP="00956685">
            <w:pPr>
              <w:ind w:left="322"/>
            </w:pPr>
            <w:r>
              <w:rPr>
                <w:noProof/>
                <w:lang w:eastAsia="fr-FR"/>
              </w:rPr>
              <w:drawing>
                <wp:inline distT="0" distB="0" distL="0" distR="0" wp14:anchorId="216E7D80" wp14:editId="26D16607">
                  <wp:extent cx="1250950" cy="395037"/>
                  <wp:effectExtent l="0" t="0" r="635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229" cy="405862"/>
                          </a:xfrm>
                          <a:prstGeom prst="rect">
                            <a:avLst/>
                          </a:prstGeom>
                          <a:noFill/>
                          <a:ln>
                            <a:noFill/>
                          </a:ln>
                        </pic:spPr>
                      </pic:pic>
                    </a:graphicData>
                  </a:graphic>
                </wp:inline>
              </w:drawing>
            </w:r>
            <w:r>
              <w:rPr>
                <w:noProof/>
                <w:lang w:eastAsia="fr-FR"/>
              </w:rPr>
              <w:drawing>
                <wp:inline distT="0" distB="0" distL="0" distR="0" wp14:anchorId="4A43DBCE" wp14:editId="28544FB2">
                  <wp:extent cx="901303" cy="554990"/>
                  <wp:effectExtent l="0" t="0" r="0" b="0"/>
                  <wp:docPr id="1" name="Image 1" descr="UMR 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R 72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3106" cy="562258"/>
                          </a:xfrm>
                          <a:prstGeom prst="rect">
                            <a:avLst/>
                          </a:prstGeom>
                          <a:noFill/>
                          <a:ln>
                            <a:noFill/>
                          </a:ln>
                        </pic:spPr>
                      </pic:pic>
                    </a:graphicData>
                  </a:graphic>
                </wp:inline>
              </w:drawing>
            </w:r>
            <w:r>
              <w:t xml:space="preserve"> </w:t>
            </w:r>
          </w:p>
        </w:tc>
      </w:tr>
    </w:tbl>
    <w:p w14:paraId="1E045E47" w14:textId="77777777" w:rsidR="008B0A75" w:rsidRDefault="008B0A75"/>
    <w:p w14:paraId="28A18BE2" w14:textId="77777777" w:rsidR="00211EDF" w:rsidRDefault="008B0A75" w:rsidP="00211EDF">
      <w:pPr>
        <w:shd w:val="clear" w:color="auto" w:fill="92D050"/>
        <w:spacing w:after="0" w:line="240" w:lineRule="auto"/>
        <w:rPr>
          <w:b/>
          <w:bCs/>
        </w:rPr>
      </w:pPr>
      <w:r w:rsidRPr="008B0A75">
        <w:rPr>
          <w:b/>
          <w:bCs/>
        </w:rPr>
        <w:t>ENSEIGNEMENT</w:t>
      </w:r>
    </w:p>
    <w:p w14:paraId="58801885" w14:textId="77777777" w:rsidR="00211EDF" w:rsidRPr="00211EDF" w:rsidRDefault="00211EDF" w:rsidP="00211EDF">
      <w:pPr>
        <w:shd w:val="clear" w:color="auto" w:fill="92D050"/>
        <w:spacing w:after="0" w:line="240" w:lineRule="auto"/>
        <w:rPr>
          <w:b/>
          <w:bCs/>
        </w:rPr>
      </w:pPr>
    </w:p>
    <w:p w14:paraId="453981BB" w14:textId="77777777" w:rsidR="00211EDF" w:rsidRDefault="00211EDF" w:rsidP="00FA2B50">
      <w:pPr>
        <w:shd w:val="clear" w:color="auto" w:fill="FFFFFF" w:themeFill="background1"/>
        <w:spacing w:after="0" w:line="240" w:lineRule="auto"/>
        <w:jc w:val="both"/>
        <w:rPr>
          <w:rFonts w:ascii="Unistra A" w:hAnsi="Unistra A"/>
          <w:sz w:val="23"/>
          <w:szCs w:val="23"/>
        </w:rPr>
      </w:pPr>
    </w:p>
    <w:p w14:paraId="4A32AD7D" w14:textId="77777777" w:rsidR="00E82C29" w:rsidRPr="00E82C29" w:rsidRDefault="00E82C29" w:rsidP="00DC7BE3">
      <w:pPr>
        <w:pBdr>
          <w:left w:val="single" w:sz="18" w:space="4" w:color="92D050"/>
        </w:pBdr>
        <w:shd w:val="clear" w:color="auto" w:fill="FFFFFF" w:themeFill="background1"/>
        <w:jc w:val="both"/>
        <w:rPr>
          <w:rFonts w:ascii="Unistra A" w:hAnsi="Unistra A" w:cs="Times New Roman"/>
        </w:rPr>
      </w:pPr>
      <w:r w:rsidRPr="00E82C29">
        <w:rPr>
          <w:rFonts w:ascii="Unistra A" w:hAnsi="Unistra A" w:cs="Times New Roman"/>
        </w:rPr>
        <w:t xml:space="preserve">L’ESBS, </w:t>
      </w:r>
      <w:r w:rsidRPr="006F148C">
        <w:rPr>
          <w:rFonts w:ascii="Unistra A" w:hAnsi="Unistra A" w:cs="Times New Roman"/>
          <w:b/>
          <w:bCs/>
          <w:color w:val="92D050"/>
          <w14:textOutline w14:w="9525" w14:cap="rnd" w14:cmpd="sng" w14:algn="ctr">
            <w14:solidFill>
              <w14:schemeClr w14:val="accent6">
                <w14:lumMod w14:val="75000"/>
              </w14:schemeClr>
            </w14:solidFill>
            <w14:prstDash w14:val="solid"/>
            <w14:bevel/>
          </w14:textOutline>
        </w:rPr>
        <w:t xml:space="preserve">École </w:t>
      </w:r>
      <w:r w:rsidR="006F148C">
        <w:rPr>
          <w:rFonts w:ascii="Unistra A" w:hAnsi="Unistra A" w:cs="Times New Roman"/>
          <w:b/>
          <w:bCs/>
          <w:color w:val="92D050"/>
          <w14:textOutline w14:w="9525" w14:cap="rnd" w14:cmpd="sng" w14:algn="ctr">
            <w14:solidFill>
              <w14:schemeClr w14:val="accent6">
                <w14:lumMod w14:val="75000"/>
              </w14:schemeClr>
            </w14:solidFill>
            <w14:prstDash w14:val="solid"/>
            <w14:bevel/>
          </w14:textOutline>
        </w:rPr>
        <w:t>S</w:t>
      </w:r>
      <w:r w:rsidRPr="006F148C">
        <w:rPr>
          <w:rFonts w:ascii="Unistra A" w:hAnsi="Unistra A" w:cs="Times New Roman"/>
          <w:b/>
          <w:bCs/>
          <w:color w:val="92D050"/>
          <w14:textOutline w14:w="9525" w14:cap="rnd" w14:cmpd="sng" w14:algn="ctr">
            <w14:solidFill>
              <w14:schemeClr w14:val="accent6">
                <w14:lumMod w14:val="75000"/>
              </w14:schemeClr>
            </w14:solidFill>
            <w14:prstDash w14:val="solid"/>
            <w14:bevel/>
          </w14:textOutline>
        </w:rPr>
        <w:t xml:space="preserve">upérieure de </w:t>
      </w:r>
      <w:r w:rsidR="006F148C">
        <w:rPr>
          <w:rFonts w:ascii="Unistra A" w:hAnsi="Unistra A" w:cs="Times New Roman"/>
          <w:b/>
          <w:bCs/>
          <w:color w:val="92D050"/>
          <w14:textOutline w14:w="9525" w14:cap="rnd" w14:cmpd="sng" w14:algn="ctr">
            <w14:solidFill>
              <w14:schemeClr w14:val="accent6">
                <w14:lumMod w14:val="75000"/>
              </w14:schemeClr>
            </w14:solidFill>
            <w14:prstDash w14:val="solid"/>
            <w14:bevel/>
          </w14:textOutline>
        </w:rPr>
        <w:t>B</w:t>
      </w:r>
      <w:r w:rsidRPr="006F148C">
        <w:rPr>
          <w:rFonts w:ascii="Unistra A" w:hAnsi="Unistra A" w:cs="Times New Roman"/>
          <w:b/>
          <w:bCs/>
          <w:color w:val="92D050"/>
          <w14:textOutline w14:w="9525" w14:cap="rnd" w14:cmpd="sng" w14:algn="ctr">
            <w14:solidFill>
              <w14:schemeClr w14:val="accent6">
                <w14:lumMod w14:val="75000"/>
              </w14:schemeClr>
            </w14:solidFill>
            <w14:prstDash w14:val="solid"/>
            <w14:bevel/>
          </w14:textOutline>
        </w:rPr>
        <w:t>iotechnologie de Strasbourg</w:t>
      </w:r>
      <w:r w:rsidRPr="00E82C29">
        <w:rPr>
          <w:rFonts w:ascii="Unistra A" w:hAnsi="Unistra A" w:cs="Times New Roman"/>
        </w:rPr>
        <w:t xml:space="preserve">, est une école d’ingénieur interne à l’université de Strasbourg. Dotée d’un programme d’enseignement trinational avec L’Allemagne (Freiburg) et la Suisse (Basel) accrédité par la CTI et certifié ISO9001. L’école prône des valeurs humaniste, scientifique et technique pour un monde durable et mieux partagé. Son offre de formation est enrichie par un diplôme d’ingénieur en Chimie-Biotechnologie en partenariat avec l’ECPM, Un Master en Biotechnologie décliné en quatre parcours (Biologie Synthétique, Analyse à haut débit, Conception et production de Biomédicaments et Sciences de la donnée) ainsi que deux diplômes d’université (Ingénierie Éco-Responsable, Recherche et Innovation Thérapeutique). L’équipe pédagogique compte une vingtaine d’enseignant.e.s-cherch.eur.euse.s permanents et bénéficie d’un support administratif d’une dizaine de collaborateurs. </w:t>
      </w:r>
    </w:p>
    <w:p w14:paraId="153663FD" w14:textId="557FC739" w:rsidR="00211EDF" w:rsidRDefault="008B0A75" w:rsidP="00DC7BE3">
      <w:pPr>
        <w:pBdr>
          <w:left w:val="single" w:sz="18" w:space="4" w:color="92D050"/>
        </w:pBdr>
        <w:shd w:val="clear" w:color="auto" w:fill="FFFFFF" w:themeFill="background1"/>
        <w:spacing w:after="0" w:line="240" w:lineRule="auto"/>
        <w:jc w:val="both"/>
        <w:rPr>
          <w:rFonts w:ascii="Unistra A" w:hAnsi="Unistra A"/>
        </w:rPr>
      </w:pPr>
      <w:r w:rsidRPr="00211EDF">
        <w:rPr>
          <w:rFonts w:ascii="Unistra A" w:hAnsi="Unistra A"/>
        </w:rPr>
        <w:t xml:space="preserve">La personne recrutée interviendra auprès des élèves ingénieurs de l’ESBS et des étudiants du Master de Biotechnologie. Elle </w:t>
      </w:r>
      <w:r w:rsidR="006B2DC4">
        <w:rPr>
          <w:rFonts w:ascii="Unistra A" w:hAnsi="Unistra A"/>
        </w:rPr>
        <w:t>s’intégrera dans l’équipe pédagogique et participera à l’évolution de l’enseignement offert aux étudiants de l’école.</w:t>
      </w:r>
      <w:r w:rsidR="00233A76">
        <w:rPr>
          <w:rFonts w:ascii="Unistra A" w:hAnsi="Unistra A"/>
        </w:rPr>
        <w:t xml:space="preserve"> Service d'enseignement : 64 heures/an</w:t>
      </w:r>
      <w:r w:rsidR="00911215">
        <w:rPr>
          <w:rFonts w:ascii="Unistra A" w:hAnsi="Unistra A"/>
        </w:rPr>
        <w:t>.</w:t>
      </w:r>
    </w:p>
    <w:p w14:paraId="220AC0DB" w14:textId="77777777" w:rsidR="00911215" w:rsidRDefault="00911215" w:rsidP="00911215">
      <w:pPr>
        <w:shd w:val="clear" w:color="auto" w:fill="FFFFFF" w:themeFill="background1"/>
        <w:spacing w:after="0" w:line="240" w:lineRule="auto"/>
        <w:jc w:val="both"/>
        <w:rPr>
          <w:rFonts w:ascii="Unistra A" w:hAnsi="Unistra A"/>
        </w:rPr>
      </w:pPr>
    </w:p>
    <w:p w14:paraId="62A690A3" w14:textId="77777777" w:rsidR="00211EDF" w:rsidRPr="00211EDF" w:rsidRDefault="00211EDF" w:rsidP="00211EDF">
      <w:pPr>
        <w:shd w:val="clear" w:color="auto" w:fill="FFFFFF" w:themeFill="background1"/>
        <w:spacing w:after="0" w:line="240" w:lineRule="auto"/>
        <w:jc w:val="both"/>
        <w:rPr>
          <w:rFonts w:ascii="Unistra A" w:hAnsi="Unistra A"/>
        </w:rPr>
      </w:pPr>
    </w:p>
    <w:p w14:paraId="2B07B21B" w14:textId="77777777" w:rsidR="00211EDF" w:rsidRDefault="00211EDF" w:rsidP="00211EDF">
      <w:pPr>
        <w:shd w:val="clear" w:color="auto" w:fill="92D050"/>
        <w:spacing w:after="0" w:line="240" w:lineRule="auto"/>
        <w:rPr>
          <w:b/>
          <w:bCs/>
        </w:rPr>
      </w:pPr>
      <w:r>
        <w:rPr>
          <w:b/>
          <w:bCs/>
        </w:rPr>
        <w:t>RECHERCHE</w:t>
      </w:r>
    </w:p>
    <w:p w14:paraId="61487712" w14:textId="77777777" w:rsidR="00211EDF" w:rsidRPr="00211EDF" w:rsidRDefault="00211EDF" w:rsidP="00211EDF">
      <w:pPr>
        <w:shd w:val="clear" w:color="auto" w:fill="92D050"/>
        <w:spacing w:after="0" w:line="240" w:lineRule="auto"/>
        <w:rPr>
          <w:b/>
          <w:bCs/>
        </w:rPr>
      </w:pPr>
    </w:p>
    <w:p w14:paraId="340CCF65" w14:textId="77777777" w:rsidR="00211EDF" w:rsidRDefault="00211EDF" w:rsidP="00211EDF">
      <w:pPr>
        <w:shd w:val="clear" w:color="auto" w:fill="FFFFFF" w:themeFill="background1"/>
        <w:spacing w:after="0" w:line="240" w:lineRule="auto"/>
        <w:jc w:val="both"/>
        <w:rPr>
          <w:rFonts w:ascii="Unistra A" w:hAnsi="Unistra A"/>
        </w:rPr>
      </w:pPr>
    </w:p>
    <w:p w14:paraId="6A7D3812" w14:textId="77777777" w:rsidR="00E82C29" w:rsidRPr="00E82C29" w:rsidRDefault="00E82C29" w:rsidP="00DC7BE3">
      <w:pPr>
        <w:pBdr>
          <w:left w:val="single" w:sz="18" w:space="4" w:color="92D050"/>
        </w:pBdr>
        <w:shd w:val="clear" w:color="auto" w:fill="FFFFFF" w:themeFill="background1"/>
        <w:jc w:val="both"/>
        <w:rPr>
          <w:rFonts w:ascii="Unistra A" w:hAnsi="Unistra A"/>
          <w:bCs/>
        </w:rPr>
      </w:pPr>
      <w:r w:rsidRPr="00E82C29">
        <w:rPr>
          <w:rFonts w:ascii="Unistra A" w:hAnsi="Unistra A" w:cs="Times New Roman"/>
        </w:rPr>
        <w:t xml:space="preserve">L'unité de recherche </w:t>
      </w:r>
      <w:r w:rsidRPr="006F148C">
        <w:rPr>
          <w:rFonts w:ascii="Unistra A" w:hAnsi="Unistra A" w:cs="Times New Roman"/>
          <w:b/>
          <w:bCs/>
          <w:color w:val="92D050"/>
          <w14:shadow w14:blurRad="50800" w14:dist="50800" w14:dir="5400000" w14:sx="0" w14:sy="0" w14:kx="0" w14:ky="0" w14:algn="ctr">
            <w14:schemeClr w14:val="tx1"/>
          </w14:shadow>
          <w14:textOutline w14:w="9525" w14:cap="rnd" w14:cmpd="sng" w14:algn="ctr">
            <w14:solidFill>
              <w14:schemeClr w14:val="accent6">
                <w14:lumMod w14:val="75000"/>
              </w14:schemeClr>
            </w14:solidFill>
            <w14:prstDash w14:val="solid"/>
            <w14:bevel/>
          </w14:textOutline>
        </w:rPr>
        <w:t>Biotechnologie et Signalisation Cellulaire UMR 7242</w:t>
      </w:r>
      <w:r w:rsidRPr="006F148C">
        <w:rPr>
          <w:rFonts w:ascii="Unistra A" w:hAnsi="Unistra A" w:cs="Times New Roman"/>
          <w:color w:val="92D050"/>
          <w14:shadow w14:blurRad="50800" w14:dist="50800" w14:dir="5400000" w14:sx="0" w14:sy="0" w14:kx="0" w14:ky="0" w14:algn="ctr">
            <w14:schemeClr w14:val="tx1"/>
          </w14:shadow>
          <w14:textOutline w14:w="9525" w14:cap="rnd" w14:cmpd="sng" w14:algn="ctr">
            <w14:solidFill>
              <w14:schemeClr w14:val="accent6">
                <w14:lumMod w14:val="75000"/>
              </w14:schemeClr>
            </w14:solidFill>
            <w14:prstDash w14:val="solid"/>
            <w14:bevel/>
          </w14:textOutline>
        </w:rPr>
        <w:t xml:space="preserve"> </w:t>
      </w:r>
      <w:r w:rsidRPr="00E82C29">
        <w:rPr>
          <w:rFonts w:ascii="Unistra A" w:hAnsi="Unistra A" w:cs="Times New Roman"/>
        </w:rPr>
        <w:t>(https://bsc.unistra.fr/en/), soutenue par le CNRS (Centre National de la Recherche Scientifique), l'INSERM (Institut national de la santé et de la recherche médicale) et l'Université de Strasbourg est situé dans le bâtiment de recherche de l'École Supérieure de Biotechnologie de Strasbourg (ESBS), au cœur du campus d'Illkirch-Graffenstaden. Elle développe des projets de recherche au carrefour de la génomique fonctionnelle et de la biologie chimique. Huit équipes de recherche et une centaine de personnes proposent des recherches pour innover dans les thérapies de la douleur, de l'auto-immunité et de l'inflammation, du cancer, des maladies microbiennes et génétiques.</w:t>
      </w:r>
    </w:p>
    <w:p w14:paraId="60DCF755" w14:textId="77777777" w:rsidR="00A74E1A" w:rsidRDefault="00211EDF" w:rsidP="00DC7BE3">
      <w:pPr>
        <w:pBdr>
          <w:left w:val="single" w:sz="18" w:space="4" w:color="92D050"/>
        </w:pBdr>
        <w:shd w:val="clear" w:color="auto" w:fill="FFFFFF" w:themeFill="background1"/>
        <w:spacing w:after="0" w:line="240" w:lineRule="auto"/>
        <w:jc w:val="both"/>
        <w:rPr>
          <w:rFonts w:ascii="Unistra A" w:hAnsi="Unistra A"/>
        </w:rPr>
      </w:pPr>
      <w:r w:rsidRPr="00211EDF">
        <w:rPr>
          <w:rFonts w:ascii="Unistra A" w:hAnsi="Unistra A"/>
        </w:rPr>
        <w:t>Les biothérapies et la biotechnologie offrent des nouvelles perspectives de soin. Le projet est d’amplifier nos recherches à visée thérapeutique pour traiter la douleur et des maladies complexes d'origine inflammatoire, microbienne ou génétique, y compris les cancers et les maladies du système immunitaire. Le/la professeur.e junior s’intégrera dans ce réseau interdisciplinaire, combinant production et optimisation de biomolécules, technologies de vectorisation, et validation sur des modèles biologiques pertinents pour une visée clinique et industrielle. Il/elle développera des biotechnologies afin de définir des candidats-biomédicaments et d’accélérer leur exploitation thérapeutique. Des défis restent ouverts dans la conception des biomolécules naturelles ou semi-synthétiques, le ciblage tissulaire et la vectorisation, l’ingénierie de systèmes multicellulaires complexes de type organoïdes et la validation de tests précliniques pertinents avec un traitement avancé de grands jeux de données.</w:t>
      </w:r>
    </w:p>
    <w:p w14:paraId="18096E32" w14:textId="77777777" w:rsidR="00FA2B50" w:rsidRDefault="00FA2B50" w:rsidP="00FA2B50">
      <w:pPr>
        <w:shd w:val="clear" w:color="auto" w:fill="FFFFFF" w:themeFill="background1"/>
        <w:spacing w:after="0" w:line="240" w:lineRule="auto"/>
        <w:jc w:val="both"/>
        <w:rPr>
          <w:rFonts w:ascii="Unistra A" w:hAnsi="Unistra A"/>
        </w:rPr>
      </w:pPr>
    </w:p>
    <w:p w14:paraId="3CD5205F" w14:textId="77777777" w:rsidR="00A74E1A" w:rsidRDefault="00A74E1A" w:rsidP="00A74E1A">
      <w:pPr>
        <w:shd w:val="clear" w:color="auto" w:fill="FFFFFF" w:themeFill="background1"/>
        <w:spacing w:after="0" w:line="240" w:lineRule="auto"/>
        <w:jc w:val="both"/>
        <w:rPr>
          <w:rFonts w:ascii="Unistra A" w:hAnsi="Unistra A"/>
        </w:rPr>
      </w:pPr>
    </w:p>
    <w:p w14:paraId="5747BCCB" w14:textId="5CF16952" w:rsidR="00233A76" w:rsidRDefault="006B2DC4" w:rsidP="00233A76">
      <w:pPr>
        <w:shd w:val="clear" w:color="auto" w:fill="92D050"/>
        <w:spacing w:after="0" w:line="240" w:lineRule="auto"/>
        <w:rPr>
          <w:b/>
          <w:bCs/>
        </w:rPr>
      </w:pPr>
      <w:r>
        <w:rPr>
          <w:b/>
          <w:bCs/>
        </w:rPr>
        <w:t>OBJECTIF</w:t>
      </w:r>
      <w:r w:rsidR="00F42653">
        <w:rPr>
          <w:b/>
          <w:bCs/>
        </w:rPr>
        <w:t>S</w:t>
      </w:r>
    </w:p>
    <w:p w14:paraId="7622A13E" w14:textId="77777777" w:rsidR="00233A76" w:rsidRPr="00211EDF" w:rsidRDefault="00233A76" w:rsidP="00233A76">
      <w:pPr>
        <w:shd w:val="clear" w:color="auto" w:fill="92D050"/>
        <w:spacing w:after="0" w:line="240" w:lineRule="auto"/>
        <w:rPr>
          <w:b/>
          <w:bCs/>
        </w:rPr>
      </w:pPr>
    </w:p>
    <w:p w14:paraId="2990BE23" w14:textId="77777777" w:rsidR="00233A76" w:rsidRPr="00211EDF" w:rsidRDefault="00233A76" w:rsidP="00233A76">
      <w:pPr>
        <w:shd w:val="clear" w:color="auto" w:fill="FFFFFF" w:themeFill="background1"/>
        <w:spacing w:after="0" w:line="240" w:lineRule="auto"/>
        <w:jc w:val="both"/>
        <w:rPr>
          <w:rFonts w:ascii="Unistra A" w:hAnsi="Unistra A"/>
        </w:rPr>
      </w:pPr>
    </w:p>
    <w:p w14:paraId="78FCD78B" w14:textId="6A9D8838" w:rsidR="00BC0C82" w:rsidRPr="00F42653" w:rsidRDefault="006B2DC4" w:rsidP="00F42653">
      <w:pPr>
        <w:pBdr>
          <w:left w:val="single" w:sz="18" w:space="4" w:color="92D050"/>
        </w:pBdr>
        <w:jc w:val="both"/>
        <w:rPr>
          <w:rFonts w:ascii="Unistra A" w:hAnsi="Unistra A"/>
        </w:rPr>
      </w:pPr>
      <w:r>
        <w:rPr>
          <w:rFonts w:ascii="Unistra A" w:hAnsi="Unistra A"/>
        </w:rPr>
        <w:t xml:space="preserve">Le contrat de Professeur Junior </w:t>
      </w:r>
      <w:r w:rsidR="00D45424">
        <w:rPr>
          <w:rFonts w:ascii="Unistra A" w:hAnsi="Unistra A"/>
        </w:rPr>
        <w:t>est une nouvelle voie de pré-titularisation équivalente aux « tenure track »</w:t>
      </w:r>
      <w:r w:rsidR="00D33511">
        <w:rPr>
          <w:rFonts w:ascii="Unistra A" w:hAnsi="Unistra A"/>
        </w:rPr>
        <w:t xml:space="preserve">. Ce dispositif a pour vocation à déboucher sur de l’emploi titulaire </w:t>
      </w:r>
      <w:r w:rsidR="00D45424">
        <w:rPr>
          <w:rFonts w:ascii="Unistra A" w:hAnsi="Unistra A"/>
        </w:rPr>
        <w:t xml:space="preserve"> </w:t>
      </w:r>
      <w:r w:rsidR="00D33511">
        <w:rPr>
          <w:rFonts w:ascii="Unistra A" w:hAnsi="Unistra A"/>
        </w:rPr>
        <w:t>Le contrat s’accompagne d’</w:t>
      </w:r>
      <w:r w:rsidR="00D45424">
        <w:rPr>
          <w:rFonts w:ascii="Unistra A" w:hAnsi="Unistra A"/>
        </w:rPr>
        <w:t>un environnement de travail et</w:t>
      </w:r>
      <w:r w:rsidR="00D33511">
        <w:rPr>
          <w:rFonts w:ascii="Unistra A" w:hAnsi="Unistra A"/>
        </w:rPr>
        <w:t xml:space="preserve"> d’une enveloppe financière</w:t>
      </w:r>
      <w:r w:rsidR="00D45424">
        <w:rPr>
          <w:rFonts w:ascii="Unistra A" w:hAnsi="Unistra A"/>
        </w:rPr>
        <w:t xml:space="preserve"> </w:t>
      </w:r>
      <w:r w:rsidR="00D33511">
        <w:rPr>
          <w:rFonts w:ascii="Unistra A" w:hAnsi="Unistra A"/>
        </w:rPr>
        <w:t>pour faciliter le démarrage</w:t>
      </w:r>
      <w:r w:rsidR="00D45424">
        <w:rPr>
          <w:rFonts w:ascii="Unistra A" w:hAnsi="Unistra A"/>
        </w:rPr>
        <w:t xml:space="preserve"> </w:t>
      </w:r>
      <w:r w:rsidR="00D33511">
        <w:rPr>
          <w:rFonts w:ascii="Unistra A" w:hAnsi="Unistra A"/>
        </w:rPr>
        <w:t>de</w:t>
      </w:r>
      <w:r w:rsidR="00D45424">
        <w:rPr>
          <w:rFonts w:ascii="Unistra A" w:hAnsi="Unistra A"/>
        </w:rPr>
        <w:t xml:space="preserve"> </w:t>
      </w:r>
      <w:r w:rsidR="00D33511">
        <w:rPr>
          <w:rFonts w:ascii="Unistra A" w:hAnsi="Unistra A"/>
        </w:rPr>
        <w:t>l’</w:t>
      </w:r>
      <w:r w:rsidR="00D45424">
        <w:rPr>
          <w:rFonts w:ascii="Unistra A" w:hAnsi="Unistra A"/>
        </w:rPr>
        <w:t xml:space="preserve">activité de recherche et </w:t>
      </w:r>
      <w:r w:rsidR="006B3EBC">
        <w:rPr>
          <w:rFonts w:ascii="Unistra A" w:hAnsi="Unistra A"/>
        </w:rPr>
        <w:t>soutenir le/la chercheur.e en vue d’une titularisation dans le corps des professeurs d’université</w:t>
      </w:r>
      <w:r w:rsidR="00D33511">
        <w:rPr>
          <w:rFonts w:ascii="Unistra A" w:hAnsi="Unistra A"/>
        </w:rPr>
        <w:t>. Au terme du contrat, une commission de titularisation entend le candidat au cours d’une audition et apprécie sa valeur scientifique ainsi que son aptitude à exercer les missions.</w:t>
      </w:r>
      <w:r w:rsidR="00F42653">
        <w:rPr>
          <w:rFonts w:ascii="Unistra A" w:hAnsi="Unistra A"/>
        </w:rPr>
        <w:t xml:space="preserve"> </w:t>
      </w:r>
      <w:r w:rsidR="006B3EBC">
        <w:rPr>
          <w:rFonts w:ascii="Unistra A" w:hAnsi="Unistra A"/>
        </w:rPr>
        <w:t xml:space="preserve">Le Professeur Junior </w:t>
      </w:r>
      <w:r w:rsidR="006B3EBC" w:rsidRPr="00FA2B50">
        <w:rPr>
          <w:rFonts w:ascii="Unistra A" w:hAnsi="Unistra A"/>
        </w:rPr>
        <w:t xml:space="preserve">candidat </w:t>
      </w:r>
      <w:r w:rsidR="00F42653">
        <w:rPr>
          <w:rFonts w:ascii="Unistra A" w:hAnsi="Unistra A"/>
        </w:rPr>
        <w:t>devra</w:t>
      </w:r>
      <w:r w:rsidR="006B3EBC" w:rsidRPr="00FA2B50">
        <w:rPr>
          <w:rFonts w:ascii="Unistra A" w:hAnsi="Unistra A"/>
        </w:rPr>
        <w:t xml:space="preserve"> développer et diriger des recherches de haute qualité confor</w:t>
      </w:r>
      <w:r w:rsidR="006B3EBC">
        <w:rPr>
          <w:rFonts w:ascii="Unistra A" w:hAnsi="Unistra A"/>
        </w:rPr>
        <w:t>mes aux normes internationales et démontrer au terme du contrat à démontrer avoir les aptitudes à exercer les missions d’un Professeur d’université de l’Université de Strasbourg</w:t>
      </w:r>
    </w:p>
    <w:p w14:paraId="0BA62862" w14:textId="77777777" w:rsidR="00BC0C82" w:rsidRPr="00FA2B50" w:rsidRDefault="00BC0C82" w:rsidP="00FA2B50">
      <w:pPr>
        <w:jc w:val="both"/>
        <w:rPr>
          <w:rFonts w:ascii="Unistra A" w:hAnsi="Unistra A"/>
        </w:rPr>
      </w:pPr>
    </w:p>
    <w:p w14:paraId="0067ECBB" w14:textId="77777777" w:rsidR="00791F8E" w:rsidRDefault="00791F8E" w:rsidP="00791F8E">
      <w:pPr>
        <w:shd w:val="clear" w:color="auto" w:fill="92D050"/>
        <w:spacing w:after="0" w:line="240" w:lineRule="auto"/>
        <w:rPr>
          <w:b/>
          <w:bCs/>
        </w:rPr>
      </w:pPr>
      <w:r>
        <w:rPr>
          <w:b/>
          <w:bCs/>
        </w:rPr>
        <w:t>CONTACTS</w:t>
      </w:r>
    </w:p>
    <w:p w14:paraId="2DF16D18" w14:textId="77777777" w:rsidR="00791F8E" w:rsidRPr="00211EDF" w:rsidRDefault="00791F8E" w:rsidP="00791F8E">
      <w:pPr>
        <w:shd w:val="clear" w:color="auto" w:fill="92D050"/>
        <w:spacing w:after="0" w:line="240" w:lineRule="auto"/>
        <w:rPr>
          <w:b/>
          <w:bCs/>
        </w:rPr>
      </w:pPr>
    </w:p>
    <w:p w14:paraId="21F2FD2D" w14:textId="77777777" w:rsidR="00791F8E" w:rsidRPr="00BC0C82" w:rsidRDefault="00791F8E" w:rsidP="00FA2B50">
      <w:pPr>
        <w:jc w:val="both"/>
      </w:pPr>
    </w:p>
    <w:p w14:paraId="01E765D8" w14:textId="77777777" w:rsidR="00F13EE5" w:rsidRDefault="00F13EE5" w:rsidP="00FA2B50">
      <w:pPr>
        <w:jc w:val="both"/>
      </w:pPr>
      <w:r w:rsidRPr="00F13EE5">
        <w:rPr>
          <w:b/>
          <w:bCs/>
        </w:rPr>
        <w:t>Enseignement</w:t>
      </w:r>
      <w:r w:rsidRPr="00F13EE5">
        <w:t xml:space="preserve"> </w:t>
      </w:r>
      <w:r w:rsidRPr="00F13EE5">
        <w:tab/>
        <w:t xml:space="preserve">: </w:t>
      </w:r>
      <w:r>
        <w:tab/>
      </w:r>
      <w:r w:rsidRPr="00F13EE5">
        <w:rPr>
          <w:b/>
          <w:bCs/>
          <w:color w:val="92D050"/>
        </w:rPr>
        <w:t>Pr. Dominique BAGNARD</w:t>
      </w:r>
    </w:p>
    <w:p w14:paraId="253AAF51" w14:textId="77777777" w:rsidR="00F13EE5" w:rsidRPr="00911215" w:rsidRDefault="00F13EE5" w:rsidP="00FA2B50">
      <w:pPr>
        <w:jc w:val="both"/>
      </w:pPr>
      <w:r>
        <w:tab/>
      </w:r>
      <w:r>
        <w:tab/>
      </w:r>
      <w:r>
        <w:tab/>
      </w:r>
      <w:r w:rsidRPr="00911215">
        <w:t>bagnard@unistra.fr</w:t>
      </w:r>
    </w:p>
    <w:p w14:paraId="57647178" w14:textId="77777777" w:rsidR="00F13EE5" w:rsidRDefault="00F13EE5" w:rsidP="00FA2B50">
      <w:pPr>
        <w:jc w:val="both"/>
        <w:rPr>
          <w:lang w:val="de-DE"/>
        </w:rPr>
      </w:pPr>
      <w:r w:rsidRPr="00F13EE5">
        <w:rPr>
          <w:b/>
          <w:bCs/>
          <w:lang w:val="de-DE"/>
        </w:rPr>
        <w:t>Recherche</w:t>
      </w:r>
      <w:r w:rsidRPr="00F13EE5">
        <w:rPr>
          <w:lang w:val="de-DE"/>
        </w:rPr>
        <w:tab/>
        <w:t>:</w:t>
      </w:r>
      <w:r w:rsidRPr="00F13EE5">
        <w:rPr>
          <w:lang w:val="de-DE"/>
        </w:rPr>
        <w:tab/>
      </w:r>
      <w:r w:rsidRPr="00F13EE5">
        <w:rPr>
          <w:b/>
          <w:bCs/>
          <w:color w:val="92D050"/>
          <w:lang w:val="de-DE"/>
        </w:rPr>
        <w:t>Dr. Guy ZUBER</w:t>
      </w:r>
    </w:p>
    <w:p w14:paraId="4361FE88" w14:textId="77777777" w:rsidR="00F13EE5" w:rsidRPr="00F13EE5" w:rsidRDefault="00F13EE5" w:rsidP="00FA2B50">
      <w:pPr>
        <w:jc w:val="both"/>
        <w:rPr>
          <w:lang w:val="de-DE"/>
        </w:rPr>
      </w:pPr>
      <w:r>
        <w:rPr>
          <w:lang w:val="de-DE"/>
        </w:rPr>
        <w:tab/>
      </w:r>
      <w:r>
        <w:rPr>
          <w:lang w:val="de-DE"/>
        </w:rPr>
        <w:tab/>
      </w:r>
      <w:r>
        <w:rPr>
          <w:lang w:val="de-DE"/>
        </w:rPr>
        <w:tab/>
      </w:r>
      <w:r w:rsidRPr="00F13EE5">
        <w:rPr>
          <w:lang w:val="de-DE"/>
        </w:rPr>
        <w:t>zuber@unistra.fr</w:t>
      </w:r>
    </w:p>
    <w:sectPr w:rsidR="00F13EE5" w:rsidRPr="00F13EE5" w:rsidSect="00F42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Unistra A">
    <w:altName w:val="Calibri"/>
    <w:charset w:val="00"/>
    <w:family w:val="auto"/>
    <w:pitch w:val="variable"/>
    <w:sig w:usb0="A00000AF" w:usb1="5000606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75"/>
    <w:rsid w:val="00036B5E"/>
    <w:rsid w:val="00211EDF"/>
    <w:rsid w:val="00233A76"/>
    <w:rsid w:val="0030108E"/>
    <w:rsid w:val="003D6010"/>
    <w:rsid w:val="00490674"/>
    <w:rsid w:val="006B2DC4"/>
    <w:rsid w:val="006B3EBC"/>
    <w:rsid w:val="006F148C"/>
    <w:rsid w:val="00783452"/>
    <w:rsid w:val="00791F8E"/>
    <w:rsid w:val="00897687"/>
    <w:rsid w:val="008B0A75"/>
    <w:rsid w:val="00911215"/>
    <w:rsid w:val="00956685"/>
    <w:rsid w:val="00A74E1A"/>
    <w:rsid w:val="00A869A8"/>
    <w:rsid w:val="00BC0C82"/>
    <w:rsid w:val="00C62E12"/>
    <w:rsid w:val="00D33511"/>
    <w:rsid w:val="00D45424"/>
    <w:rsid w:val="00DC7BE3"/>
    <w:rsid w:val="00E82C29"/>
    <w:rsid w:val="00F13EE5"/>
    <w:rsid w:val="00F42653"/>
    <w:rsid w:val="00FA2B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3726B"/>
  <w15:docId w15:val="{219C3510-90DB-2142-B0ED-C8504F0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13EE5"/>
    <w:rPr>
      <w:color w:val="0563C1" w:themeColor="hyperlink"/>
      <w:u w:val="single"/>
    </w:rPr>
  </w:style>
  <w:style w:type="character" w:customStyle="1" w:styleId="Mentionnonrsolue1">
    <w:name w:val="Mention non résolue1"/>
    <w:basedOn w:val="Policepardfaut"/>
    <w:uiPriority w:val="99"/>
    <w:semiHidden/>
    <w:unhideWhenUsed/>
    <w:rsid w:val="00F13EE5"/>
    <w:rPr>
      <w:color w:val="605E5C"/>
      <w:shd w:val="clear" w:color="auto" w:fill="E1DFDD"/>
    </w:rPr>
  </w:style>
  <w:style w:type="character" w:styleId="Marquedecommentaire">
    <w:name w:val="annotation reference"/>
    <w:basedOn w:val="Policepardfaut"/>
    <w:uiPriority w:val="99"/>
    <w:semiHidden/>
    <w:unhideWhenUsed/>
    <w:rsid w:val="00BC0C82"/>
    <w:rPr>
      <w:sz w:val="16"/>
      <w:szCs w:val="16"/>
    </w:rPr>
  </w:style>
  <w:style w:type="paragraph" w:styleId="Commentaire">
    <w:name w:val="annotation text"/>
    <w:basedOn w:val="Normal"/>
    <w:link w:val="CommentaireCar"/>
    <w:uiPriority w:val="99"/>
    <w:semiHidden/>
    <w:unhideWhenUsed/>
    <w:rsid w:val="00BC0C82"/>
    <w:pPr>
      <w:spacing w:line="240" w:lineRule="auto"/>
    </w:pPr>
    <w:rPr>
      <w:sz w:val="20"/>
      <w:szCs w:val="20"/>
    </w:rPr>
  </w:style>
  <w:style w:type="character" w:customStyle="1" w:styleId="CommentaireCar">
    <w:name w:val="Commentaire Car"/>
    <w:basedOn w:val="Policepardfaut"/>
    <w:link w:val="Commentaire"/>
    <w:uiPriority w:val="99"/>
    <w:semiHidden/>
    <w:rsid w:val="00BC0C82"/>
    <w:rPr>
      <w:sz w:val="20"/>
      <w:szCs w:val="20"/>
    </w:rPr>
  </w:style>
  <w:style w:type="paragraph" w:styleId="Objetducommentaire">
    <w:name w:val="annotation subject"/>
    <w:basedOn w:val="Commentaire"/>
    <w:next w:val="Commentaire"/>
    <w:link w:val="ObjetducommentaireCar"/>
    <w:uiPriority w:val="99"/>
    <w:semiHidden/>
    <w:unhideWhenUsed/>
    <w:rsid w:val="00BC0C82"/>
    <w:rPr>
      <w:b/>
      <w:bCs/>
    </w:rPr>
  </w:style>
  <w:style w:type="character" w:customStyle="1" w:styleId="ObjetducommentaireCar">
    <w:name w:val="Objet du commentaire Car"/>
    <w:basedOn w:val="CommentaireCar"/>
    <w:link w:val="Objetducommentaire"/>
    <w:uiPriority w:val="99"/>
    <w:semiHidden/>
    <w:rsid w:val="00BC0C82"/>
    <w:rPr>
      <w:b/>
      <w:bCs/>
      <w:sz w:val="20"/>
      <w:szCs w:val="20"/>
    </w:rPr>
  </w:style>
  <w:style w:type="paragraph" w:styleId="Textedebulles">
    <w:name w:val="Balloon Text"/>
    <w:basedOn w:val="Normal"/>
    <w:link w:val="TextedebullesCar"/>
    <w:uiPriority w:val="99"/>
    <w:semiHidden/>
    <w:unhideWhenUsed/>
    <w:rsid w:val="006B2DC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2D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dc:creator>
  <cp:keywords/>
  <dc:description/>
  <cp:lastModifiedBy>Gaëtan</cp:lastModifiedBy>
  <cp:revision>4</cp:revision>
  <dcterms:created xsi:type="dcterms:W3CDTF">2025-06-12T14:58:00Z</dcterms:created>
  <dcterms:modified xsi:type="dcterms:W3CDTF">2025-06-12T15:15:00Z</dcterms:modified>
</cp:coreProperties>
</file>